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A6" w:rsidRPr="002230D4" w:rsidRDefault="008137A6" w:rsidP="008137A6">
      <w:pPr>
        <w:spacing w:after="120" w:line="312" w:lineRule="auto"/>
        <w:ind w:left="100" w:right="-20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2230D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New York City College of Technology</w:t>
      </w:r>
    </w:p>
    <w:p w:rsidR="008137A6" w:rsidRPr="002230D4" w:rsidRDefault="002638F8" w:rsidP="0084297B">
      <w:pPr>
        <w:spacing w:after="0" w:line="312" w:lineRule="auto"/>
        <w:ind w:left="101" w:right="-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0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CRITICAL COURSE </w:t>
      </w:r>
      <w:r w:rsidR="008137A6" w:rsidRPr="002230D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ASSESSMENT REPORT</w:t>
      </w:r>
    </w:p>
    <w:p w:rsidR="008137A6" w:rsidRPr="002230D4" w:rsidRDefault="008137A6" w:rsidP="000876E2">
      <w:pPr>
        <w:spacing w:after="120" w:line="312" w:lineRule="auto"/>
        <w:ind w:left="101" w:right="-14"/>
        <w:jc w:val="center"/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</w:pPr>
      <w:r w:rsidRPr="002230D4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 xml:space="preserve">INSERT </w:t>
      </w:r>
      <w:r w:rsidR="002638F8" w:rsidRPr="002230D4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>COURSE</w:t>
      </w:r>
      <w:r w:rsidRPr="002230D4"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  <w:u w:val="single"/>
        </w:rPr>
        <w:t xml:space="preserve"> NAME </w:t>
      </w:r>
    </w:p>
    <w:p w:rsidR="008137A6" w:rsidRPr="002230D4" w:rsidRDefault="005A2314" w:rsidP="002230D4">
      <w:pPr>
        <w:pStyle w:val="Heading1"/>
        <w:spacing w:before="120" w:after="120"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A73267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137A6" w:rsidRPr="002230D4">
        <w:rPr>
          <w:rFonts w:ascii="Times New Roman" w:hAnsi="Times New Roman" w:cs="Times New Roman"/>
          <w:b/>
          <w:color w:val="auto"/>
          <w:sz w:val="24"/>
          <w:szCs w:val="24"/>
        </w:rPr>
        <w:t>Background</w:t>
      </w:r>
      <w:r w:rsidR="002638F8" w:rsidRPr="002230D4">
        <w:rPr>
          <w:rFonts w:ascii="Times New Roman" w:hAnsi="Times New Roman" w:cs="Times New Roman"/>
          <w:b/>
          <w:color w:val="auto"/>
          <w:sz w:val="24"/>
          <w:szCs w:val="24"/>
        </w:rPr>
        <w:t>/</w:t>
      </w:r>
      <w:r w:rsidR="002638F8" w:rsidRPr="002230D4">
        <w:rPr>
          <w:rFonts w:ascii="Times New Roman" w:hAnsi="Times New Roman" w:cs="Times New Roman"/>
          <w:sz w:val="24"/>
          <w:szCs w:val="24"/>
        </w:rPr>
        <w:t xml:space="preserve"> </w:t>
      </w:r>
      <w:r w:rsidR="002638F8" w:rsidRPr="002230D4">
        <w:rPr>
          <w:rFonts w:ascii="Times New Roman" w:hAnsi="Times New Roman" w:cs="Times New Roman"/>
          <w:b/>
          <w:color w:val="auto"/>
          <w:sz w:val="24"/>
          <w:szCs w:val="24"/>
        </w:rPr>
        <w:t>Rationale of Critical Course Assessment</w:t>
      </w:r>
      <w:r w:rsidR="008137A6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2638F8" w:rsidRPr="002230D4" w:rsidRDefault="002638F8" w:rsidP="008137A6">
      <w:pPr>
        <w:spacing w:after="120" w:line="312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>This section states the background of the critical course assessment.</w:t>
      </w:r>
    </w:p>
    <w:p w:rsidR="00525D98" w:rsidRPr="002230D4" w:rsidRDefault="00525D98" w:rsidP="00FD7D4A">
      <w:pPr>
        <w:spacing w:after="12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  <w:u w:val="single"/>
        </w:rPr>
        <w:t>Minimal Requirements</w:t>
      </w:r>
    </w:p>
    <w:p w:rsidR="00525D98" w:rsidRPr="002230D4" w:rsidRDefault="00525D98" w:rsidP="00B360CB">
      <w:pPr>
        <w:pStyle w:val="ListParagraph"/>
        <w:numPr>
          <w:ilvl w:val="0"/>
          <w:numId w:val="18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</w:rPr>
        <w:t>Course Name</w:t>
      </w:r>
    </w:p>
    <w:p w:rsidR="00525D98" w:rsidRPr="002230D4" w:rsidRDefault="00525D98" w:rsidP="00B360CB">
      <w:pPr>
        <w:pStyle w:val="ListParagraph"/>
        <w:numPr>
          <w:ilvl w:val="0"/>
          <w:numId w:val="18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</w:rPr>
        <w:t>Number of Sections</w:t>
      </w:r>
    </w:p>
    <w:p w:rsidR="00525D98" w:rsidRPr="002230D4" w:rsidRDefault="00525D98" w:rsidP="00B360CB">
      <w:pPr>
        <w:pStyle w:val="ListParagraph"/>
        <w:numPr>
          <w:ilvl w:val="0"/>
          <w:numId w:val="18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</w:rPr>
        <w:t>Total Course enrollment</w:t>
      </w:r>
    </w:p>
    <w:p w:rsidR="001219B1" w:rsidRPr="002230D4" w:rsidRDefault="002230D4" w:rsidP="00B360CB">
      <w:pPr>
        <w:pStyle w:val="ListParagraph"/>
        <w:numPr>
          <w:ilvl w:val="0"/>
          <w:numId w:val="18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State type of course: </w:t>
      </w:r>
      <w:r w:rsidR="00525D98" w:rsidRPr="002230D4">
        <w:rPr>
          <w:rFonts w:ascii="Times New Roman" w:hAnsi="Times New Roman" w:cs="Times New Roman"/>
          <w:sz w:val="24"/>
          <w:szCs w:val="24"/>
        </w:rPr>
        <w:t xml:space="preserve">gateway, capstone, requirement for degree (and state which degree program), </w:t>
      </w:r>
      <w:r>
        <w:rPr>
          <w:rFonts w:ascii="Times New Roman" w:hAnsi="Times New Roman" w:cs="Times New Roman"/>
          <w:sz w:val="24"/>
          <w:szCs w:val="24"/>
        </w:rPr>
        <w:t>General Educating</w:t>
      </w:r>
      <w:r w:rsidR="00525D98" w:rsidRPr="002230D4">
        <w:rPr>
          <w:rFonts w:ascii="Times New Roman" w:hAnsi="Times New Roman" w:cs="Times New Roman"/>
          <w:sz w:val="24"/>
          <w:szCs w:val="24"/>
        </w:rPr>
        <w:t xml:space="preserve"> (and state which type of </w:t>
      </w:r>
      <w:r>
        <w:rPr>
          <w:rFonts w:ascii="Times New Roman" w:hAnsi="Times New Roman" w:cs="Times New Roman"/>
          <w:sz w:val="24"/>
          <w:szCs w:val="24"/>
        </w:rPr>
        <w:t>Gen Ed</w:t>
      </w:r>
      <w:r w:rsidR="00525D98" w:rsidRPr="002230D4">
        <w:rPr>
          <w:rFonts w:ascii="Times New Roman" w:hAnsi="Times New Roman" w:cs="Times New Roman"/>
          <w:sz w:val="24"/>
          <w:szCs w:val="24"/>
        </w:rPr>
        <w:t xml:space="preserve"> requirement – flexible or required)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5D98" w:rsidRPr="002230D4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8137A6" w:rsidRPr="002230D4" w:rsidRDefault="005A2314" w:rsidP="002638F8">
      <w:pPr>
        <w:pStyle w:val="Heading1"/>
        <w:spacing w:before="120" w:after="120"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A73267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638F8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Critical Course Student Learning </w:t>
      </w:r>
      <w:r w:rsidR="00525D98" w:rsidRPr="002230D4">
        <w:rPr>
          <w:rFonts w:ascii="Times New Roman" w:hAnsi="Times New Roman" w:cs="Times New Roman"/>
          <w:b/>
          <w:color w:val="auto"/>
          <w:sz w:val="24"/>
          <w:szCs w:val="24"/>
        </w:rPr>
        <w:t>Objectives/</w:t>
      </w:r>
      <w:r w:rsidR="002638F8" w:rsidRPr="002230D4">
        <w:rPr>
          <w:rFonts w:ascii="Times New Roman" w:hAnsi="Times New Roman" w:cs="Times New Roman"/>
          <w:b/>
          <w:color w:val="auto"/>
          <w:sz w:val="24"/>
          <w:szCs w:val="24"/>
        </w:rPr>
        <w:t>Outcomes</w:t>
      </w:r>
    </w:p>
    <w:p w:rsidR="002638F8" w:rsidRPr="002230D4" w:rsidRDefault="002638F8" w:rsidP="008137A6">
      <w:pPr>
        <w:spacing w:after="120" w:line="312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List the student learning outcomes of the critical course </w:t>
      </w:r>
      <w:r w:rsidR="00493A90" w:rsidRPr="002230D4">
        <w:rPr>
          <w:rFonts w:ascii="Times New Roman" w:hAnsi="Times New Roman" w:cs="Times New Roman"/>
          <w:i/>
          <w:color w:val="0070C0"/>
          <w:sz w:val="24"/>
          <w:szCs w:val="24"/>
        </w:rPr>
        <w:t>at</w:t>
      </w: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this section.</w:t>
      </w:r>
    </w:p>
    <w:p w:rsidR="00525D98" w:rsidRPr="002230D4" w:rsidRDefault="00525D98" w:rsidP="00525D98">
      <w:pPr>
        <w:spacing w:after="12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  <w:u w:val="single"/>
        </w:rPr>
        <w:t>Minimal Requirements</w:t>
      </w:r>
    </w:p>
    <w:p w:rsidR="00525D98" w:rsidRPr="00FD7D4A" w:rsidRDefault="00525D98" w:rsidP="00B360CB">
      <w:pPr>
        <w:pStyle w:val="ListParagraph"/>
        <w:numPr>
          <w:ilvl w:val="0"/>
          <w:numId w:val="17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the learning objectives/outcomes that were selected to be assessed</w:t>
      </w:r>
    </w:p>
    <w:p w:rsidR="00525D98" w:rsidRPr="00FD7D4A" w:rsidRDefault="00525D98" w:rsidP="00B360CB">
      <w:pPr>
        <w:pStyle w:val="ListParagraph"/>
        <w:numPr>
          <w:ilvl w:val="0"/>
          <w:numId w:val="17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Rationale for selecting these particular course objectives/outcomes</w:t>
      </w:r>
    </w:p>
    <w:p w:rsidR="00A73267" w:rsidRPr="002230D4" w:rsidRDefault="005A2314" w:rsidP="00A73267">
      <w:pPr>
        <w:pStyle w:val="Heading1"/>
        <w:spacing w:before="120" w:after="120"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A73267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A5859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Assessment </w:t>
      </w:r>
      <w:r w:rsidR="00A40484" w:rsidRPr="002230D4">
        <w:rPr>
          <w:rFonts w:ascii="Times New Roman" w:hAnsi="Times New Roman" w:cs="Times New Roman"/>
          <w:b/>
          <w:color w:val="auto"/>
          <w:sz w:val="24"/>
          <w:szCs w:val="24"/>
        </w:rPr>
        <w:t>Overview</w:t>
      </w:r>
    </w:p>
    <w:p w:rsidR="006A5859" w:rsidRPr="002230D4" w:rsidRDefault="006A5859" w:rsidP="001219B1">
      <w:pPr>
        <w:spacing w:after="120" w:line="312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>This section demonstrates your critical course assessment process and activities, such as the assessment cycle, data collection cycle and planned activities for each student learning outcome.</w:t>
      </w:r>
    </w:p>
    <w:p w:rsidR="00525D98" w:rsidRPr="002230D4" w:rsidRDefault="00525D98" w:rsidP="00525D98">
      <w:pPr>
        <w:spacing w:after="12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  <w:u w:val="single"/>
        </w:rPr>
        <w:t>Minimal Requirements</w:t>
      </w:r>
    </w:p>
    <w:p w:rsidR="00525D98" w:rsidRPr="00FD7D4A" w:rsidRDefault="00525D98" w:rsidP="00B360CB">
      <w:pPr>
        <w:pStyle w:val="ListParagraph"/>
        <w:numPr>
          <w:ilvl w:val="0"/>
          <w:numId w:val="15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the critical course assessment cycle (1-year or 2-years)</w:t>
      </w:r>
    </w:p>
    <w:p w:rsidR="00FD7D4A" w:rsidRDefault="00525D98" w:rsidP="00B360CB">
      <w:pPr>
        <w:pStyle w:val="ListParagraph"/>
        <w:numPr>
          <w:ilvl w:val="0"/>
          <w:numId w:val="15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 xml:space="preserve">Provide an </w:t>
      </w:r>
      <w:r w:rsidRPr="00FD7D4A">
        <w:rPr>
          <w:rFonts w:ascii="Times New Roman" w:hAnsi="Times New Roman" w:cs="Times New Roman"/>
          <w:b/>
          <w:sz w:val="24"/>
          <w:szCs w:val="24"/>
        </w:rPr>
        <w:t>overview</w:t>
      </w:r>
      <w:r w:rsidRPr="002230D4">
        <w:rPr>
          <w:rFonts w:ascii="Times New Roman" w:hAnsi="Times New Roman" w:cs="Times New Roman"/>
          <w:sz w:val="24"/>
          <w:szCs w:val="24"/>
        </w:rPr>
        <w:t xml:space="preserve"> of the assessment timeline (this is different than the detailed Critical Course Assessment Planning Documentation)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5220"/>
        <w:gridCol w:w="844"/>
        <w:gridCol w:w="776"/>
        <w:gridCol w:w="822"/>
        <w:gridCol w:w="776"/>
        <w:gridCol w:w="776"/>
        <w:gridCol w:w="776"/>
      </w:tblGrid>
      <w:tr w:rsidR="00FD7D4A" w:rsidRPr="00FD7D4A" w:rsidTr="00FD7D4A">
        <w:trPr>
          <w:trHeight w:val="315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Outcome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2015-16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2016-17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2018-19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2019-20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2020-21</w:t>
            </w:r>
          </w:p>
        </w:tc>
      </w:tr>
      <w:tr w:rsidR="00FD7D4A" w:rsidRPr="00FD7D4A" w:rsidTr="00FD7D4A">
        <w:trPr>
          <w:trHeight w:val="422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Demonstrate a basic understanding of Fiscal Policy.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D4A" w:rsidRPr="00FD7D4A" w:rsidTr="00FD7D4A">
        <w:trPr>
          <w:trHeight w:val="629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Demonstrate a basic understanding of Monetary Policy and Banking systems.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D7D4A" w:rsidRPr="00FD7D4A" w:rsidTr="00FD7D4A">
        <w:trPr>
          <w:trHeight w:val="620"/>
          <w:jc w:val="center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ability to apply Fiscal and Monetary Policies and the Banking system concepts to real world.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4A" w:rsidRPr="00FD7D4A" w:rsidRDefault="00FD7D4A" w:rsidP="00FD7D4A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7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</w:tbl>
    <w:p w:rsidR="00FD7D4A" w:rsidRPr="00FD7D4A" w:rsidRDefault="00FD7D4A" w:rsidP="00FD7D4A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67C9C" w:rsidRPr="00B360CB" w:rsidRDefault="00567C9C" w:rsidP="00B360CB">
      <w:pPr>
        <w:pStyle w:val="ListParagraph"/>
        <w:numPr>
          <w:ilvl w:val="0"/>
          <w:numId w:val="15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360CB">
        <w:rPr>
          <w:rFonts w:ascii="Times New Roman" w:hAnsi="Times New Roman" w:cs="Times New Roman"/>
          <w:sz w:val="24"/>
          <w:szCs w:val="24"/>
        </w:rPr>
        <w:lastRenderedPageBreak/>
        <w:t xml:space="preserve">Type of </w:t>
      </w:r>
      <w:r w:rsidR="00A40484" w:rsidRPr="00B360CB">
        <w:rPr>
          <w:rFonts w:ascii="Times New Roman" w:hAnsi="Times New Roman" w:cs="Times New Roman"/>
          <w:sz w:val="24"/>
          <w:szCs w:val="24"/>
        </w:rPr>
        <w:t xml:space="preserve">direct </w:t>
      </w:r>
      <w:r w:rsidRPr="00B360CB">
        <w:rPr>
          <w:rFonts w:ascii="Times New Roman" w:hAnsi="Times New Roman" w:cs="Times New Roman"/>
          <w:sz w:val="24"/>
          <w:szCs w:val="24"/>
        </w:rPr>
        <w:t>assessment instrument developed and used (test or performance appraisal) and include a copy in the Appendix.</w:t>
      </w:r>
    </w:p>
    <w:p w:rsidR="00567C9C" w:rsidRPr="00FD7D4A" w:rsidRDefault="00567C9C" w:rsidP="00B360CB">
      <w:pPr>
        <w:pStyle w:val="ListParagraph"/>
        <w:numPr>
          <w:ilvl w:val="0"/>
          <w:numId w:val="15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the faculty involved in developing the assessment instrument</w:t>
      </w:r>
    </w:p>
    <w:p w:rsidR="008E4634" w:rsidRPr="002230D4" w:rsidRDefault="005A2314" w:rsidP="008E4634">
      <w:pPr>
        <w:pStyle w:val="Heading1"/>
        <w:spacing w:before="120" w:after="120"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r w:rsidR="008E4634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40484" w:rsidRPr="002230D4">
        <w:rPr>
          <w:rFonts w:ascii="Times New Roman" w:hAnsi="Times New Roman" w:cs="Times New Roman"/>
          <w:b/>
          <w:color w:val="auto"/>
          <w:sz w:val="24"/>
          <w:szCs w:val="24"/>
        </w:rPr>
        <w:t>Assessment Sample</w:t>
      </w:r>
    </w:p>
    <w:p w:rsidR="006A5859" w:rsidRPr="002230D4" w:rsidRDefault="006A5859" w:rsidP="008137A6">
      <w:pPr>
        <w:spacing w:after="120" w:line="312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>This section states the data collection for student learning outcomes of the critical course</w:t>
      </w:r>
      <w:r w:rsidR="003D1F32" w:rsidRPr="002230D4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219B1" w:rsidRPr="002230D4" w:rsidRDefault="00A40484" w:rsidP="008137A6">
      <w:pPr>
        <w:spacing w:after="12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  <w:u w:val="single"/>
        </w:rPr>
        <w:t>Minimal Requirements</w:t>
      </w:r>
    </w:p>
    <w:p w:rsidR="00A40484" w:rsidRPr="002230D4" w:rsidRDefault="00A40484" w:rsidP="00B360CB">
      <w:pPr>
        <w:pStyle w:val="ListParagraph"/>
        <w:numPr>
          <w:ilvl w:val="0"/>
          <w:numId w:val="14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how many sections of the course were assessed</w:t>
      </w:r>
    </w:p>
    <w:p w:rsidR="00A40484" w:rsidRPr="002230D4" w:rsidRDefault="00A40484" w:rsidP="00B360CB">
      <w:pPr>
        <w:pStyle w:val="ListParagraph"/>
        <w:numPr>
          <w:ilvl w:val="0"/>
          <w:numId w:val="14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the total number of students assessed</w:t>
      </w:r>
    </w:p>
    <w:p w:rsidR="00A40484" w:rsidRPr="002230D4" w:rsidRDefault="00A40484" w:rsidP="00B360CB">
      <w:pPr>
        <w:pStyle w:val="ListParagraph"/>
        <w:numPr>
          <w:ilvl w:val="0"/>
          <w:numId w:val="14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 xml:space="preserve">Indicate the faculty who participated in the data collection </w:t>
      </w:r>
    </w:p>
    <w:p w:rsidR="00A40484" w:rsidRPr="002230D4" w:rsidRDefault="00A40484" w:rsidP="00B360CB">
      <w:pPr>
        <w:pStyle w:val="ListParagraph"/>
        <w:numPr>
          <w:ilvl w:val="0"/>
          <w:numId w:val="14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how the data were scored (e.g., TK20, a designated faculty member, results submitted from each faculty member, etc.)</w:t>
      </w:r>
    </w:p>
    <w:p w:rsidR="001219B1" w:rsidRPr="002230D4" w:rsidRDefault="005A2314" w:rsidP="001219B1">
      <w:pPr>
        <w:pStyle w:val="Heading1"/>
        <w:spacing w:before="120" w:after="120"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1219B1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D1F32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Assessment Results for Student Learning </w:t>
      </w:r>
      <w:r w:rsidR="00A40484" w:rsidRPr="002230D4">
        <w:rPr>
          <w:rFonts w:ascii="Times New Roman" w:hAnsi="Times New Roman" w:cs="Times New Roman"/>
          <w:b/>
          <w:color w:val="auto"/>
          <w:sz w:val="24"/>
          <w:szCs w:val="24"/>
        </w:rPr>
        <w:t>Objective/Outcome (indicate which one)</w:t>
      </w:r>
    </w:p>
    <w:p w:rsidR="003D1F32" w:rsidRPr="002230D4" w:rsidRDefault="003D1F32" w:rsidP="008137A6">
      <w:pPr>
        <w:spacing w:after="120" w:line="312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This section demonstrates the detailed assessment </w:t>
      </w:r>
      <w:r w:rsidR="0090276C" w:rsidRPr="002230D4">
        <w:rPr>
          <w:rFonts w:ascii="Times New Roman" w:hAnsi="Times New Roman" w:cs="Times New Roman"/>
          <w:i/>
          <w:color w:val="0070C0"/>
          <w:sz w:val="24"/>
          <w:szCs w:val="24"/>
        </w:rPr>
        <w:t>results for each student learning outcome</w:t>
      </w: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of the critical course.</w:t>
      </w:r>
    </w:p>
    <w:p w:rsidR="000876E2" w:rsidRPr="002230D4" w:rsidRDefault="00A40484" w:rsidP="008137A6">
      <w:pPr>
        <w:spacing w:after="12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sz w:val="24"/>
          <w:szCs w:val="24"/>
          <w:u w:val="single"/>
        </w:rPr>
        <w:t>Minimal Requirements</w:t>
      </w:r>
    </w:p>
    <w:p w:rsidR="00A40484" w:rsidRPr="00B360CB" w:rsidRDefault="00B360CB" w:rsidP="00B360C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1a) </w:t>
      </w:r>
      <w:r w:rsidR="00A40484" w:rsidRPr="00B360CB">
        <w:rPr>
          <w:rFonts w:ascii="Times New Roman" w:hAnsi="Times New Roman" w:cs="Times New Roman"/>
          <w:sz w:val="24"/>
          <w:szCs w:val="24"/>
        </w:rPr>
        <w:t>If you used a performance appraisal with a rubric, list each performance indicator you used for this objective/outcome and the result (e.g., percentage of students who met or exceeded faculty criterion).</w:t>
      </w:r>
      <w:r w:rsidR="00AE4989" w:rsidRPr="00B360CB">
        <w:rPr>
          <w:rFonts w:ascii="Times New Roman" w:hAnsi="Times New Roman" w:cs="Times New Roman"/>
          <w:sz w:val="24"/>
          <w:szCs w:val="24"/>
        </w:rPr>
        <w:t xml:space="preserve"> See example below.</w:t>
      </w:r>
    </w:p>
    <w:p w:rsidR="00AE4989" w:rsidRPr="002230D4" w:rsidRDefault="00AE4989" w:rsidP="00ED6239">
      <w:pPr>
        <w:pStyle w:val="ListParagraph"/>
        <w:numPr>
          <w:ilvl w:val="0"/>
          <w:numId w:val="10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D7D4A">
        <w:rPr>
          <w:rFonts w:ascii="Times New Roman" w:hAnsi="Times New Roman" w:cs="Times New Roman"/>
          <w:sz w:val="24"/>
          <w:szCs w:val="24"/>
        </w:rPr>
        <w:t>The results for each of the performance indicators are presented in Figure 1. When examining the individual performance indicators, students met or exceeded faculty criteria for success as follows:</w:t>
      </w:r>
    </w:p>
    <w:p w:rsidR="00AE4989" w:rsidRPr="00175F65" w:rsidRDefault="00AE4989" w:rsidP="00175F65">
      <w:pPr>
        <w:pStyle w:val="ListParagraph"/>
        <w:numPr>
          <w:ilvl w:val="0"/>
          <w:numId w:val="2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75F65">
        <w:rPr>
          <w:rFonts w:ascii="Times New Roman" w:hAnsi="Times New Roman" w:cs="Times New Roman"/>
          <w:sz w:val="24"/>
          <w:szCs w:val="24"/>
        </w:rPr>
        <w:t>Supporting Evidence (87%),</w:t>
      </w:r>
    </w:p>
    <w:p w:rsidR="00AE4989" w:rsidRPr="00175F65" w:rsidRDefault="00AE4989" w:rsidP="00175F65">
      <w:pPr>
        <w:pStyle w:val="ListParagraph"/>
        <w:numPr>
          <w:ilvl w:val="0"/>
          <w:numId w:val="2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75F65">
        <w:rPr>
          <w:rFonts w:ascii="Times New Roman" w:hAnsi="Times New Roman" w:cs="Times New Roman"/>
          <w:sz w:val="24"/>
          <w:szCs w:val="24"/>
        </w:rPr>
        <w:t xml:space="preserve">Parallel </w:t>
      </w:r>
      <w:r w:rsidR="007D00AA" w:rsidRPr="00175F65">
        <w:rPr>
          <w:rFonts w:ascii="Times New Roman" w:hAnsi="Times New Roman" w:cs="Times New Roman"/>
          <w:sz w:val="24"/>
          <w:szCs w:val="24"/>
        </w:rPr>
        <w:t>Structure (</w:t>
      </w:r>
      <w:r w:rsidRPr="00175F65">
        <w:rPr>
          <w:rFonts w:ascii="Times New Roman" w:hAnsi="Times New Roman" w:cs="Times New Roman"/>
          <w:sz w:val="24"/>
          <w:szCs w:val="24"/>
        </w:rPr>
        <w:t xml:space="preserve">90%), </w:t>
      </w:r>
    </w:p>
    <w:p w:rsidR="00AE4989" w:rsidRPr="00175F65" w:rsidRDefault="00AE4989" w:rsidP="00175F65">
      <w:pPr>
        <w:pStyle w:val="ListParagraph"/>
        <w:numPr>
          <w:ilvl w:val="0"/>
          <w:numId w:val="2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75F65">
        <w:rPr>
          <w:rFonts w:ascii="Times New Roman" w:hAnsi="Times New Roman" w:cs="Times New Roman"/>
          <w:sz w:val="24"/>
          <w:szCs w:val="24"/>
        </w:rPr>
        <w:t xml:space="preserve">Depth of Research (86%), </w:t>
      </w:r>
    </w:p>
    <w:p w:rsidR="00AE4989" w:rsidRPr="00175F65" w:rsidRDefault="00AE4989" w:rsidP="00175F65">
      <w:pPr>
        <w:pStyle w:val="ListParagraph"/>
        <w:numPr>
          <w:ilvl w:val="0"/>
          <w:numId w:val="20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75F65">
        <w:rPr>
          <w:rFonts w:ascii="Times New Roman" w:hAnsi="Times New Roman" w:cs="Times New Roman"/>
          <w:sz w:val="24"/>
          <w:szCs w:val="24"/>
        </w:rPr>
        <w:t xml:space="preserve">APA Format (72%). </w:t>
      </w:r>
    </w:p>
    <w:p w:rsidR="00777A8D" w:rsidRPr="00777A8D" w:rsidRDefault="00777A8D" w:rsidP="00777A8D"/>
    <w:p w:rsidR="00AE4989" w:rsidRDefault="00836876" w:rsidP="00777A8D">
      <w:pPr>
        <w:jc w:val="center"/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D52E24" wp14:editId="0CF3DAAF">
            <wp:extent cx="5629275" cy="2806810"/>
            <wp:effectExtent l="0" t="0" r="9525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7A8D" w:rsidRDefault="00777A8D" w:rsidP="00777A8D">
      <w:pPr>
        <w:spacing w:after="0" w:line="240" w:lineRule="auto"/>
        <w:jc w:val="center"/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</w:pPr>
      <w:r w:rsidRPr="00777A8D"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  <w:t xml:space="preserve">Figure 1. Course Objective/Outcome 1: Percentage of </w:t>
      </w:r>
      <w:bookmarkStart w:id="0" w:name="_GoBack"/>
      <w:bookmarkEnd w:id="0"/>
    </w:p>
    <w:p w:rsidR="00777A8D" w:rsidRPr="00777A8D" w:rsidRDefault="00777A8D" w:rsidP="00777A8D">
      <w:pPr>
        <w:spacing w:after="0" w:line="240" w:lineRule="auto"/>
        <w:jc w:val="center"/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</w:pPr>
      <w:r w:rsidRPr="00777A8D"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  <w:t>Students Who Met or Exceeded Faculty Criteria</w:t>
      </w:r>
    </w:p>
    <w:p w:rsidR="00777A8D" w:rsidRPr="002230D4" w:rsidRDefault="00777A8D" w:rsidP="00AE4989">
      <w:pPr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</w:pPr>
    </w:p>
    <w:p w:rsidR="00AE4989" w:rsidRPr="00ED6239" w:rsidRDefault="00ED6239" w:rsidP="00ED623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1b) </w:t>
      </w:r>
      <w:r w:rsidR="00AE4989" w:rsidRPr="00ED6239">
        <w:rPr>
          <w:rFonts w:ascii="Times New Roman" w:hAnsi="Times New Roman" w:cs="Times New Roman"/>
          <w:sz w:val="24"/>
          <w:szCs w:val="24"/>
        </w:rPr>
        <w:t xml:space="preserve">If you used a test, indicate the overall performance on each item that was indicated in your test blueprint. Please see the AIR office staff if you need assistance interpreting your test data. </w:t>
      </w:r>
      <w:r w:rsidR="00752E82" w:rsidRPr="00ED6239">
        <w:rPr>
          <w:rFonts w:ascii="Times New Roman" w:hAnsi="Times New Roman" w:cs="Times New Roman"/>
          <w:sz w:val="24"/>
          <w:szCs w:val="24"/>
        </w:rPr>
        <w:t>See results below.</w:t>
      </w:r>
    </w:p>
    <w:p w:rsidR="00752E82" w:rsidRDefault="00752E82" w:rsidP="00ED6239">
      <w:pPr>
        <w:pStyle w:val="ListParagraph"/>
        <w:numPr>
          <w:ilvl w:val="0"/>
          <w:numId w:val="10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The percentage of correct responses to the three items used to assess this objective was 49%. The results for each of the thre</w:t>
      </w:r>
      <w:r w:rsidR="00777A8D">
        <w:rPr>
          <w:rFonts w:ascii="Times New Roman" w:hAnsi="Times New Roman" w:cs="Times New Roman"/>
          <w:sz w:val="24"/>
          <w:szCs w:val="24"/>
        </w:rPr>
        <w:t>e items is indicated in Figure 2</w:t>
      </w:r>
      <w:r w:rsidRPr="002230D4">
        <w:rPr>
          <w:rFonts w:ascii="Times New Roman" w:hAnsi="Times New Roman" w:cs="Times New Roman"/>
          <w:sz w:val="24"/>
          <w:szCs w:val="24"/>
        </w:rPr>
        <w:t>.</w:t>
      </w:r>
    </w:p>
    <w:p w:rsidR="00ED6239" w:rsidRPr="00836876" w:rsidRDefault="00ED6239" w:rsidP="00836876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2E82" w:rsidRDefault="00836876" w:rsidP="00777A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75CB85" wp14:editId="1A0D874F">
            <wp:extent cx="4691269" cy="2576223"/>
            <wp:effectExtent l="0" t="0" r="14605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7A8D" w:rsidRDefault="00777A8D" w:rsidP="00777A8D">
      <w:pPr>
        <w:spacing w:after="0" w:line="240" w:lineRule="auto"/>
        <w:jc w:val="center"/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  <w:t>Figure 2</w:t>
      </w:r>
      <w:r w:rsidRPr="002230D4"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  <w:t xml:space="preserve">. Course Objective/Outcome 1: Percentage of Students </w:t>
      </w:r>
    </w:p>
    <w:p w:rsidR="00777A8D" w:rsidRPr="00175F65" w:rsidRDefault="00777A8D" w:rsidP="00175F65">
      <w:pPr>
        <w:spacing w:after="0" w:line="240" w:lineRule="auto"/>
        <w:jc w:val="center"/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</w:pPr>
      <w:r w:rsidRPr="002230D4">
        <w:rPr>
          <w:rFonts w:ascii="Times New Roman" w:eastAsiaTheme="majorEastAsia" w:hAnsi="Times New Roman" w:cs="Times New Roman"/>
          <w:iCs/>
          <w:color w:val="221E1F"/>
          <w:sz w:val="24"/>
          <w:szCs w:val="24"/>
        </w:rPr>
        <w:t>Who Met or Exceeded Faculty Criteria/Correct Response for each test item</w:t>
      </w:r>
    </w:p>
    <w:p w:rsidR="00A02D98" w:rsidRPr="002230D4" w:rsidRDefault="00ED6239" w:rsidP="00ED623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A02D98" w:rsidRPr="002230D4">
        <w:rPr>
          <w:rFonts w:ascii="Times New Roman" w:hAnsi="Times New Roman" w:cs="Times New Roman"/>
          <w:sz w:val="24"/>
          <w:szCs w:val="24"/>
        </w:rPr>
        <w:t xml:space="preserve"> If this was a re-assessment, indicate whether or not there was an improvement with respect to this learning objective/outcome or otherwise and remind the reader of the previous results so they understand the magnitude of the change.</w:t>
      </w:r>
    </w:p>
    <w:p w:rsidR="003D1F32" w:rsidRPr="002230D4" w:rsidRDefault="005A2314" w:rsidP="00AE4989">
      <w:pPr>
        <w:pStyle w:val="Heading1"/>
        <w:spacing w:before="120" w:after="120" w:line="312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VI</w:t>
      </w:r>
      <w:r w:rsidR="003D1F32" w:rsidRPr="002230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Assessment Summary and Improvement Plan</w:t>
      </w:r>
    </w:p>
    <w:p w:rsidR="003D1F32" w:rsidRPr="002230D4" w:rsidRDefault="003D1F32" w:rsidP="003D1F32">
      <w:pPr>
        <w:spacing w:after="120" w:line="312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230D4">
        <w:rPr>
          <w:rFonts w:ascii="Times New Roman" w:hAnsi="Times New Roman" w:cs="Times New Roman"/>
          <w:i/>
          <w:color w:val="0070C0"/>
          <w:sz w:val="24"/>
          <w:szCs w:val="24"/>
        </w:rPr>
        <w:t>This section states the assessment summary and improvement plans based on the assessment results of the critical course</w:t>
      </w:r>
      <w:r w:rsidR="0090276C" w:rsidRPr="002230D4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123972" w:rsidRPr="00ED6239" w:rsidRDefault="00752E82" w:rsidP="008137A6">
      <w:pPr>
        <w:spacing w:after="120" w:line="312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D6239">
        <w:rPr>
          <w:rFonts w:ascii="Times New Roman" w:hAnsi="Times New Roman" w:cs="Times New Roman"/>
          <w:sz w:val="24"/>
          <w:szCs w:val="24"/>
          <w:u w:val="single"/>
        </w:rPr>
        <w:t>Minimal Requirements</w:t>
      </w:r>
    </w:p>
    <w:p w:rsidR="00752E82" w:rsidRPr="00ED6239" w:rsidRDefault="00752E82" w:rsidP="00ED6239">
      <w:pPr>
        <w:pStyle w:val="ListParagraph"/>
        <w:numPr>
          <w:ilvl w:val="0"/>
          <w:numId w:val="19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Provide a verbal discussion of the strengths and weaknesses identified by the results (above).</w:t>
      </w:r>
    </w:p>
    <w:p w:rsidR="00752E82" w:rsidRPr="00ED6239" w:rsidRDefault="00752E82" w:rsidP="00ED6239">
      <w:pPr>
        <w:pStyle w:val="ListParagraph"/>
        <w:numPr>
          <w:ilvl w:val="0"/>
          <w:numId w:val="19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when the res</w:t>
      </w:r>
      <w:r w:rsidR="00A02D98" w:rsidRPr="002230D4">
        <w:rPr>
          <w:rFonts w:ascii="Times New Roman" w:hAnsi="Times New Roman" w:cs="Times New Roman"/>
          <w:sz w:val="24"/>
          <w:szCs w:val="24"/>
        </w:rPr>
        <w:t>ults</w:t>
      </w:r>
      <w:r w:rsidRPr="002230D4">
        <w:rPr>
          <w:rFonts w:ascii="Times New Roman" w:hAnsi="Times New Roman" w:cs="Times New Roman"/>
          <w:sz w:val="24"/>
          <w:szCs w:val="24"/>
        </w:rPr>
        <w:t xml:space="preserve"> were shared with chair/faculty and improvement planning meeting was held.</w:t>
      </w:r>
    </w:p>
    <w:p w:rsidR="00752E82" w:rsidRPr="00ED6239" w:rsidRDefault="00A02D98" w:rsidP="00ED6239">
      <w:pPr>
        <w:pStyle w:val="ListParagraph"/>
        <w:numPr>
          <w:ilvl w:val="0"/>
          <w:numId w:val="19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which faculty were involved in the improvement planning meeting.</w:t>
      </w:r>
    </w:p>
    <w:p w:rsidR="00A02D98" w:rsidRPr="00ED6239" w:rsidRDefault="00A02D98" w:rsidP="00ED6239">
      <w:pPr>
        <w:pStyle w:val="ListParagraph"/>
        <w:numPr>
          <w:ilvl w:val="0"/>
          <w:numId w:val="19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Discuss the improvement strategies that were identified.</w:t>
      </w:r>
    </w:p>
    <w:p w:rsidR="00A02D98" w:rsidRPr="00ED6239" w:rsidRDefault="00A02D98" w:rsidP="00ED6239">
      <w:pPr>
        <w:pStyle w:val="ListParagraph"/>
        <w:numPr>
          <w:ilvl w:val="0"/>
          <w:numId w:val="19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Indicate how the improvement strategies will be communicated and implemented to faculty teaching the critical course.</w:t>
      </w:r>
    </w:p>
    <w:p w:rsidR="00A02D98" w:rsidRDefault="00A02D98" w:rsidP="00ED6239">
      <w:pPr>
        <w:pStyle w:val="ListParagraph"/>
        <w:numPr>
          <w:ilvl w:val="0"/>
          <w:numId w:val="19"/>
        </w:numPr>
        <w:spacing w:after="0" w:line="312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230D4">
        <w:rPr>
          <w:rFonts w:ascii="Times New Roman" w:hAnsi="Times New Roman" w:cs="Times New Roman"/>
          <w:sz w:val="24"/>
          <w:szCs w:val="24"/>
        </w:rPr>
        <w:t>State when there will be a re-assessment to evaluate the effectiveness of the improvement strategies.</w:t>
      </w:r>
    </w:p>
    <w:p w:rsidR="005A2314" w:rsidRDefault="005A2314" w:rsidP="005A231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A2314" w:rsidRPr="005A2314" w:rsidRDefault="005A2314" w:rsidP="005A231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123972" w:rsidRDefault="00A02D98" w:rsidP="00123972">
      <w:pPr>
        <w:spacing w:after="120" w:line="312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</w:pPr>
      <w:r w:rsidRPr="002230D4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 xml:space="preserve">Repeat </w:t>
      </w:r>
      <w:r w:rsidR="005A2314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Step V</w:t>
      </w:r>
      <w:r w:rsidR="005A2314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 xml:space="preserve"> and </w:t>
      </w:r>
      <w:r w:rsidR="005A2314" w:rsidRPr="005A2314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VI</w:t>
      </w:r>
      <w:r w:rsidR="005A2314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 xml:space="preserve"> </w:t>
      </w:r>
      <w:r w:rsidRPr="002230D4"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  <w:t>for each Course Objective/Outcome Assessed</w:t>
      </w:r>
    </w:p>
    <w:p w:rsidR="00345F4B" w:rsidRPr="00BF07D7" w:rsidRDefault="00345F4B" w:rsidP="00345F4B">
      <w:pPr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2230D4">
        <w:rPr>
          <w:rFonts w:ascii="Times New Roman" w:hAnsi="Times New Roman" w:cs="Times New Roman"/>
          <w:b/>
          <w:sz w:val="24"/>
          <w:szCs w:val="24"/>
        </w:rPr>
        <w:t xml:space="preserve"> Assessment Results for Student Learning Objective/Outcome (i</w:t>
      </w:r>
      <w:r>
        <w:rPr>
          <w:rFonts w:ascii="Times New Roman" w:hAnsi="Times New Roman" w:cs="Times New Roman"/>
          <w:b/>
          <w:sz w:val="24"/>
          <w:szCs w:val="24"/>
        </w:rPr>
        <w:t>ndicate which one)</w:t>
      </w:r>
    </w:p>
    <w:p w:rsidR="00345F4B" w:rsidRPr="002230D4" w:rsidRDefault="00345F4B" w:rsidP="00345F4B">
      <w:pPr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2230D4">
        <w:rPr>
          <w:rFonts w:ascii="Times New Roman" w:hAnsi="Times New Roman" w:cs="Times New Roman"/>
          <w:b/>
          <w:sz w:val="24"/>
          <w:szCs w:val="24"/>
        </w:rPr>
        <w:t xml:space="preserve"> Assessment Summary and Improvement Plan</w:t>
      </w:r>
    </w:p>
    <w:p w:rsidR="00345F4B" w:rsidRPr="002230D4" w:rsidRDefault="00345F4B" w:rsidP="00123972">
      <w:pPr>
        <w:spacing w:after="120" w:line="312" w:lineRule="auto"/>
        <w:jc w:val="center"/>
        <w:rPr>
          <w:rFonts w:ascii="Times New Roman" w:hAnsi="Times New Roman" w:cs="Times New Roman"/>
          <w:i/>
          <w:color w:val="C00000"/>
          <w:sz w:val="24"/>
          <w:szCs w:val="24"/>
          <w:u w:val="single"/>
        </w:rPr>
      </w:pPr>
    </w:p>
    <w:sectPr w:rsidR="00345F4B" w:rsidRPr="002230D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A9" w:rsidRDefault="00DC79A9" w:rsidP="00123972">
      <w:pPr>
        <w:spacing w:after="0" w:line="240" w:lineRule="auto"/>
      </w:pPr>
      <w:r>
        <w:separator/>
      </w:r>
    </w:p>
  </w:endnote>
  <w:endnote w:type="continuationSeparator" w:id="0">
    <w:p w:rsidR="00DC79A9" w:rsidRDefault="00DC79A9" w:rsidP="0012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72" w:rsidRPr="00123972" w:rsidRDefault="000876E2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sz w:val="20"/>
        <w:szCs w:val="20"/>
      </w:rPr>
    </w:pPr>
    <w:r w:rsidRPr="000876E2">
      <w:rPr>
        <w:rFonts w:ascii="Times New Roman" w:hAnsi="Times New Roman" w:cs="Times New Roman"/>
        <w:color w:val="000000" w:themeColor="text1"/>
        <w:sz w:val="20"/>
        <w:szCs w:val="20"/>
      </w:rPr>
      <w:t>NYCCT – Office of Assessment &amp; Institutional Research</w:t>
    </w:r>
    <w:r w:rsidRPr="000876E2">
      <w:rPr>
        <w:color w:val="000000" w:themeColor="text1"/>
      </w:rPr>
      <w:t xml:space="preserve">                                     </w:t>
    </w:r>
    <w:sdt>
      <w:sdtPr>
        <w:id w:val="-162198428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color w:val="7F7F7F" w:themeColor="background1" w:themeShade="7F"/>
          <w:spacing w:val="60"/>
          <w:sz w:val="20"/>
          <w:szCs w:val="20"/>
        </w:rPr>
      </w:sdtEndPr>
      <w:sdtContent>
        <w:r w:rsidR="00123972" w:rsidRPr="000876E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3972" w:rsidRPr="000876E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123972" w:rsidRPr="000876E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3687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123972" w:rsidRPr="000876E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="00123972" w:rsidRPr="000876E2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="00123972" w:rsidRPr="000876E2">
          <w:rPr>
            <w:rFonts w:ascii="Times New Roman" w:hAnsi="Times New Roman" w:cs="Times New Roman"/>
            <w:color w:val="7F7F7F" w:themeColor="background1" w:themeShade="7F"/>
            <w:spacing w:val="60"/>
            <w:sz w:val="20"/>
            <w:szCs w:val="20"/>
          </w:rPr>
          <w:t>Page</w:t>
        </w:r>
      </w:sdtContent>
    </w:sdt>
  </w:p>
  <w:p w:rsidR="00123972" w:rsidRDefault="00123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A9" w:rsidRDefault="00DC79A9" w:rsidP="00123972">
      <w:pPr>
        <w:spacing w:after="0" w:line="240" w:lineRule="auto"/>
      </w:pPr>
      <w:r>
        <w:separator/>
      </w:r>
    </w:p>
  </w:footnote>
  <w:footnote w:type="continuationSeparator" w:id="0">
    <w:p w:rsidR="00DC79A9" w:rsidRDefault="00DC79A9" w:rsidP="0012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57F"/>
    <w:multiLevelType w:val="hybridMultilevel"/>
    <w:tmpl w:val="57E0A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941"/>
    <w:multiLevelType w:val="hybridMultilevel"/>
    <w:tmpl w:val="18B2EC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DDD"/>
    <w:multiLevelType w:val="hybridMultilevel"/>
    <w:tmpl w:val="EBEEBE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479BD"/>
    <w:multiLevelType w:val="hybridMultilevel"/>
    <w:tmpl w:val="FBD85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062E9"/>
    <w:multiLevelType w:val="hybridMultilevel"/>
    <w:tmpl w:val="ADBEC2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B42E9"/>
    <w:multiLevelType w:val="hybridMultilevel"/>
    <w:tmpl w:val="3960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D90"/>
    <w:multiLevelType w:val="hybridMultilevel"/>
    <w:tmpl w:val="70CA767E"/>
    <w:lvl w:ilvl="0" w:tplc="09486632">
      <w:numFmt w:val="bullet"/>
      <w:lvlText w:val="•"/>
      <w:lvlJc w:val="left"/>
      <w:pPr>
        <w:ind w:left="1080" w:hanging="360"/>
      </w:pPr>
      <w:rPr>
        <w:rFonts w:ascii="Calibri Light" w:eastAsiaTheme="majorEastAsia" w:hAnsi="Calibri Light" w:cstheme="majorBidi" w:hint="default"/>
        <w:b w:val="0"/>
        <w:color w:val="221E1F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70DBA"/>
    <w:multiLevelType w:val="hybridMultilevel"/>
    <w:tmpl w:val="9FF276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E56FC"/>
    <w:multiLevelType w:val="hybridMultilevel"/>
    <w:tmpl w:val="A596EFE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77F57"/>
    <w:multiLevelType w:val="hybridMultilevel"/>
    <w:tmpl w:val="1D50E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80A60"/>
    <w:multiLevelType w:val="hybridMultilevel"/>
    <w:tmpl w:val="5FB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55F9B"/>
    <w:multiLevelType w:val="hybridMultilevel"/>
    <w:tmpl w:val="61BE4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E0CA1"/>
    <w:multiLevelType w:val="hybridMultilevel"/>
    <w:tmpl w:val="4824E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6863B9"/>
    <w:multiLevelType w:val="hybridMultilevel"/>
    <w:tmpl w:val="14AC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11D"/>
    <w:multiLevelType w:val="hybridMultilevel"/>
    <w:tmpl w:val="DED89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20084"/>
    <w:multiLevelType w:val="hybridMultilevel"/>
    <w:tmpl w:val="61BE4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266E1"/>
    <w:multiLevelType w:val="hybridMultilevel"/>
    <w:tmpl w:val="E356E1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65F05"/>
    <w:multiLevelType w:val="hybridMultilevel"/>
    <w:tmpl w:val="1112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23306"/>
    <w:multiLevelType w:val="hybridMultilevel"/>
    <w:tmpl w:val="61BE4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14CB5"/>
    <w:multiLevelType w:val="hybridMultilevel"/>
    <w:tmpl w:val="E356E1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1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17"/>
  </w:num>
  <w:num w:numId="12">
    <w:abstractNumId w:val="0"/>
  </w:num>
  <w:num w:numId="13">
    <w:abstractNumId w:val="4"/>
  </w:num>
  <w:num w:numId="14">
    <w:abstractNumId w:val="19"/>
  </w:num>
  <w:num w:numId="15">
    <w:abstractNumId w:val="8"/>
  </w:num>
  <w:num w:numId="16">
    <w:abstractNumId w:val="9"/>
  </w:num>
  <w:num w:numId="17">
    <w:abstractNumId w:val="7"/>
  </w:num>
  <w:num w:numId="18">
    <w:abstractNumId w:val="2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A6"/>
    <w:rsid w:val="00062164"/>
    <w:rsid w:val="000876E2"/>
    <w:rsid w:val="001219B1"/>
    <w:rsid w:val="00123972"/>
    <w:rsid w:val="00172D99"/>
    <w:rsid w:val="00175F65"/>
    <w:rsid w:val="002230D4"/>
    <w:rsid w:val="002638F8"/>
    <w:rsid w:val="00345F4B"/>
    <w:rsid w:val="003D1F32"/>
    <w:rsid w:val="00493A90"/>
    <w:rsid w:val="005145CA"/>
    <w:rsid w:val="00525D98"/>
    <w:rsid w:val="00567C9C"/>
    <w:rsid w:val="005A2314"/>
    <w:rsid w:val="006A5859"/>
    <w:rsid w:val="00752E82"/>
    <w:rsid w:val="00777A8D"/>
    <w:rsid w:val="007A6715"/>
    <w:rsid w:val="007D00AA"/>
    <w:rsid w:val="008137A6"/>
    <w:rsid w:val="008314C1"/>
    <w:rsid w:val="00836876"/>
    <w:rsid w:val="0084297B"/>
    <w:rsid w:val="008E4634"/>
    <w:rsid w:val="0090276C"/>
    <w:rsid w:val="00A012A5"/>
    <w:rsid w:val="00A02D98"/>
    <w:rsid w:val="00A40484"/>
    <w:rsid w:val="00A73267"/>
    <w:rsid w:val="00AB3928"/>
    <w:rsid w:val="00AE4989"/>
    <w:rsid w:val="00B360CB"/>
    <w:rsid w:val="00BF5677"/>
    <w:rsid w:val="00C3275A"/>
    <w:rsid w:val="00C60ECF"/>
    <w:rsid w:val="00DC79A9"/>
    <w:rsid w:val="00ED6239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FADA"/>
  <w15:chartTrackingRefBased/>
  <w15:docId w15:val="{9B7EB5FA-CB81-4BE7-9B64-02332151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7A6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3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13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A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73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23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72"/>
  </w:style>
  <w:style w:type="paragraph" w:styleId="Footer">
    <w:name w:val="footer"/>
    <w:basedOn w:val="Normal"/>
    <w:link w:val="FooterChar"/>
    <w:uiPriority w:val="99"/>
    <w:unhideWhenUsed/>
    <w:rsid w:val="00123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72"/>
  </w:style>
  <w:style w:type="paragraph" w:styleId="ListParagraph">
    <w:name w:val="List Paragraph"/>
    <w:basedOn w:val="Normal"/>
    <w:uiPriority w:val="34"/>
    <w:qFormat/>
    <w:rsid w:val="00525D98"/>
    <w:pPr>
      <w:ind w:left="720"/>
      <w:contextualSpacing/>
    </w:pPr>
  </w:style>
  <w:style w:type="table" w:styleId="TableGrid">
    <w:name w:val="Table Grid"/>
    <w:basedOn w:val="TableNormal"/>
    <w:uiPriority w:val="39"/>
    <w:rsid w:val="00567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7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2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31852202220307"/>
          <c:y val="4.5128205128205132E-2"/>
          <c:w val="0.86297005277167205"/>
          <c:h val="0.761510518877448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Rubric!$B$1</c:f>
              <c:strCache>
                <c:ptCount val="1"/>
                <c:pt idx="0">
                  <c:v>Percentage of Meeting Criteria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Rubric!$A$2:$A$5</c:f>
              <c:strCache>
                <c:ptCount val="4"/>
                <c:pt idx="0">
                  <c:v>Supporting Evidence </c:v>
                </c:pt>
                <c:pt idx="1">
                  <c:v>Parallel Structure </c:v>
                </c:pt>
                <c:pt idx="2">
                  <c:v>Depth of Research </c:v>
                </c:pt>
                <c:pt idx="3">
                  <c:v>APA Format </c:v>
                </c:pt>
              </c:strCache>
            </c:strRef>
          </c:cat>
          <c:val>
            <c:numRef>
              <c:f>Rubric!$B$2:$B$5</c:f>
              <c:numCache>
                <c:formatCode>0%</c:formatCode>
                <c:ptCount val="4"/>
                <c:pt idx="0">
                  <c:v>0.87</c:v>
                </c:pt>
                <c:pt idx="1">
                  <c:v>0.9</c:v>
                </c:pt>
                <c:pt idx="2">
                  <c:v>0.86</c:v>
                </c:pt>
                <c:pt idx="3">
                  <c:v>0.72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82-4249-B819-097F29C8A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420064"/>
        <c:axId val="340417984"/>
      </c:barChart>
      <c:lineChart>
        <c:grouping val="standard"/>
        <c:varyColors val="0"/>
        <c:ser>
          <c:idx val="1"/>
          <c:order val="1"/>
          <c:tx>
            <c:strRef>
              <c:f>Rubric!$C$1</c:f>
              <c:strCache>
                <c:ptCount val="1"/>
                <c:pt idx="0">
                  <c:v>Target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Rubric!$A$2:$A$5</c:f>
              <c:strCache>
                <c:ptCount val="4"/>
                <c:pt idx="0">
                  <c:v>Supporting Evidence </c:v>
                </c:pt>
                <c:pt idx="1">
                  <c:v>Parallel Structure </c:v>
                </c:pt>
                <c:pt idx="2">
                  <c:v>Depth of Research </c:v>
                </c:pt>
                <c:pt idx="3">
                  <c:v>APA Format </c:v>
                </c:pt>
              </c:strCache>
            </c:strRef>
          </c:cat>
          <c:val>
            <c:numRef>
              <c:f>Rubric!$C$2:$C$5</c:f>
              <c:numCache>
                <c:formatCode>0%</c:formatCode>
                <c:ptCount val="4"/>
                <c:pt idx="0">
                  <c:v>0.7</c:v>
                </c:pt>
                <c:pt idx="1">
                  <c:v>0.7</c:v>
                </c:pt>
                <c:pt idx="2">
                  <c:v>0.7</c:v>
                </c:pt>
                <c:pt idx="3">
                  <c:v>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82-4249-B819-097F29C8A5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0420064"/>
        <c:axId val="340417984"/>
      </c:lineChart>
      <c:catAx>
        <c:axId val="34042006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  <a:effectLst/>
                  </a:rPr>
                  <a:t>Performance Indicator</a:t>
                </a:r>
                <a:endParaRPr lang="en-US" sz="1050">
                  <a:solidFill>
                    <a:sysClr val="windowText" lastClr="000000"/>
                  </a:solidFill>
                  <a:effectLst/>
                </a:endParaRPr>
              </a:p>
            </c:rich>
          </c:tx>
          <c:layout>
            <c:manualLayout>
              <c:xMode val="edge"/>
              <c:yMode val="edge"/>
              <c:x val="0.41741378774353716"/>
              <c:y val="0.913939501906153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417984"/>
        <c:crosses val="autoZero"/>
        <c:auto val="1"/>
        <c:lblAlgn val="ctr"/>
        <c:lblOffset val="100"/>
        <c:noMultiLvlLbl val="0"/>
      </c:catAx>
      <c:valAx>
        <c:axId val="3404179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Percentage of Meeting Criteria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042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83800292028342871"/>
          <c:y val="3.2985669439132545E-2"/>
          <c:w val="0.14417779688801699"/>
          <c:h val="7.4572657635560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099209662834709"/>
          <c:y val="4.9274597224770539E-2"/>
          <c:w val="0.82184741482503842"/>
          <c:h val="0.7740395513623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'Test items'!$B$1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'Test items'!$A$2:$A$4</c:f>
              <c:strCache>
                <c:ptCount val="3"/>
                <c:pt idx="0">
                  <c:v>#1</c:v>
                </c:pt>
                <c:pt idx="1">
                  <c:v>#4</c:v>
                </c:pt>
                <c:pt idx="2">
                  <c:v>#8</c:v>
                </c:pt>
              </c:strCache>
            </c:strRef>
          </c:cat>
          <c:val>
            <c:numRef>
              <c:f>'Test items'!$B$2:$B$4</c:f>
              <c:numCache>
                <c:formatCode>0%</c:formatCode>
                <c:ptCount val="3"/>
                <c:pt idx="0">
                  <c:v>0.49</c:v>
                </c:pt>
                <c:pt idx="1">
                  <c:v>0.52</c:v>
                </c:pt>
                <c:pt idx="2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09-4F2E-97FD-72EE51851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8938800"/>
        <c:axId val="518937968"/>
      </c:barChart>
      <c:catAx>
        <c:axId val="5189388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Test</a:t>
                </a:r>
                <a:r>
                  <a:rPr lang="en-US" sz="1050" b="1" baseline="0">
                    <a:solidFill>
                      <a:sysClr val="windowText" lastClr="000000"/>
                    </a:solidFill>
                  </a:rPr>
                  <a:t> items</a:t>
                </a:r>
                <a:endParaRPr lang="en-US" sz="1050" b="1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44031079220165409"/>
              <c:y val="0.9056571532162083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8937968"/>
        <c:crosses val="autoZero"/>
        <c:auto val="1"/>
        <c:lblAlgn val="ctr"/>
        <c:lblOffset val="100"/>
        <c:noMultiLvlLbl val="0"/>
      </c:catAx>
      <c:valAx>
        <c:axId val="51893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 b="1">
                    <a:solidFill>
                      <a:sysClr val="windowText" lastClr="000000"/>
                    </a:solidFill>
                  </a:rPr>
                  <a:t>Percentage of meeting Criteria</a:t>
                </a:r>
              </a:p>
            </c:rich>
          </c:tx>
          <c:layout>
            <c:manualLayout>
              <c:xMode val="edge"/>
              <c:yMode val="edge"/>
              <c:x val="2.0229835559170239E-2"/>
              <c:y val="9.0766809189521763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8938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0.16458</cdr:x>
      <cdr:y>0.89231</cdr:y>
    </cdr:from>
    <cdr:to>
      <cdr:x>0.69583</cdr:x>
      <cdr:y>0.95692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52475" y="2762250"/>
          <a:ext cx="2428875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D7F4-9C33-4CCA-A963-12FC9FF1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Yongchao Zhao</dc:creator>
  <cp:keywords/>
  <dc:description/>
  <cp:lastModifiedBy>Yongchao Zhao</cp:lastModifiedBy>
  <cp:revision>11</cp:revision>
  <dcterms:created xsi:type="dcterms:W3CDTF">2018-08-31T19:33:00Z</dcterms:created>
  <dcterms:modified xsi:type="dcterms:W3CDTF">2018-10-15T13:44:00Z</dcterms:modified>
</cp:coreProperties>
</file>